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74C9" w14:textId="77777777" w:rsidR="00C04E7C" w:rsidRPr="00C04E7C" w:rsidRDefault="00C04E7C" w:rsidP="00C04E7C">
      <w:pPr>
        <w:spacing w:after="0" w:line="360" w:lineRule="auto"/>
        <w:jc w:val="both"/>
        <w:rPr>
          <w:rFonts w:eastAsia="Times New Roman" w:cs="Times New Roman"/>
          <w:color w:val="000000"/>
          <w:szCs w:val="24"/>
          <w:lang w:eastAsia="es-CO"/>
        </w:rPr>
      </w:pPr>
    </w:p>
    <w:p w14:paraId="04202F89" w14:textId="77777777" w:rsidR="00C04E7C" w:rsidRPr="00C04E7C" w:rsidRDefault="00C04E7C" w:rsidP="00C04E7C">
      <w:pPr>
        <w:spacing w:after="0" w:line="360" w:lineRule="auto"/>
        <w:jc w:val="both"/>
        <w:rPr>
          <w:rFonts w:eastAsia="Times New Roman" w:cs="Times New Roman"/>
          <w:color w:val="000000"/>
          <w:szCs w:val="24"/>
          <w:lang w:eastAsia="es-CO"/>
        </w:rPr>
      </w:pPr>
    </w:p>
    <w:p w14:paraId="7689510E" w14:textId="77777777" w:rsidR="00C04E7C" w:rsidRPr="00C04E7C" w:rsidRDefault="00C04E7C" w:rsidP="00C04E7C">
      <w:pPr>
        <w:spacing w:after="0" w:line="360" w:lineRule="auto"/>
        <w:jc w:val="both"/>
        <w:rPr>
          <w:rFonts w:eastAsia="Times New Roman" w:cs="Times New Roman"/>
          <w:color w:val="000000"/>
          <w:szCs w:val="24"/>
          <w:lang w:eastAsia="es-CO"/>
        </w:rPr>
      </w:pPr>
    </w:p>
    <w:p w14:paraId="6CE68C7F" w14:textId="77777777" w:rsidR="00C04E7C" w:rsidRPr="00C04E7C" w:rsidRDefault="00C04E7C" w:rsidP="00C04E7C">
      <w:pPr>
        <w:spacing w:after="0" w:line="360" w:lineRule="auto"/>
        <w:jc w:val="center"/>
        <w:rPr>
          <w:rFonts w:eastAsia="Times New Roman" w:cs="Times New Roman"/>
          <w:color w:val="000000"/>
          <w:szCs w:val="24"/>
          <w:lang w:eastAsia="es-CO"/>
        </w:rPr>
      </w:pPr>
      <w:r w:rsidRPr="00C04E7C">
        <w:rPr>
          <w:rFonts w:eastAsia="Times New Roman" w:cs="Times New Roman"/>
          <w:b/>
          <w:bCs/>
          <w:color w:val="0000FF"/>
          <w:szCs w:val="24"/>
          <w:lang w:eastAsia="es-CO"/>
        </w:rPr>
        <w:t xml:space="preserve">OFICIO </w:t>
      </w:r>
      <w:proofErr w:type="spellStart"/>
      <w:r w:rsidRPr="00C04E7C">
        <w:rPr>
          <w:rFonts w:eastAsia="Times New Roman" w:cs="Times New Roman"/>
          <w:b/>
          <w:bCs/>
          <w:color w:val="0000FF"/>
          <w:szCs w:val="24"/>
          <w:lang w:eastAsia="es-CO"/>
        </w:rPr>
        <w:t>Nº</w:t>
      </w:r>
      <w:proofErr w:type="spellEnd"/>
      <w:r w:rsidRPr="00C04E7C">
        <w:rPr>
          <w:rFonts w:eastAsia="Times New Roman" w:cs="Times New Roman"/>
          <w:b/>
          <w:bCs/>
          <w:color w:val="0000FF"/>
          <w:szCs w:val="24"/>
          <w:lang w:eastAsia="es-CO"/>
        </w:rPr>
        <w:t xml:space="preserve"> 272 [901636]</w:t>
      </w:r>
    </w:p>
    <w:p w14:paraId="63A8DF04" w14:textId="77777777" w:rsidR="00C04E7C" w:rsidRPr="00C04E7C" w:rsidRDefault="00C04E7C" w:rsidP="00C04E7C">
      <w:pPr>
        <w:spacing w:after="0" w:line="360" w:lineRule="auto"/>
        <w:jc w:val="center"/>
        <w:rPr>
          <w:rFonts w:eastAsia="Times New Roman" w:cs="Times New Roman"/>
          <w:color w:val="000000"/>
          <w:szCs w:val="24"/>
          <w:lang w:eastAsia="es-CO"/>
        </w:rPr>
      </w:pPr>
      <w:r w:rsidRPr="00C04E7C">
        <w:rPr>
          <w:rFonts w:eastAsia="Times New Roman" w:cs="Times New Roman"/>
          <w:b/>
          <w:bCs/>
          <w:color w:val="0000FF"/>
          <w:szCs w:val="24"/>
          <w:lang w:eastAsia="es-CO"/>
        </w:rPr>
        <w:t>04-03-2022</w:t>
      </w:r>
    </w:p>
    <w:p w14:paraId="60809875" w14:textId="77777777" w:rsidR="00C04E7C" w:rsidRPr="00C04E7C" w:rsidRDefault="00C04E7C" w:rsidP="00C04E7C">
      <w:pPr>
        <w:spacing w:after="0" w:line="360" w:lineRule="auto"/>
        <w:jc w:val="center"/>
        <w:rPr>
          <w:rFonts w:eastAsia="Times New Roman" w:cs="Times New Roman"/>
          <w:color w:val="000000"/>
          <w:szCs w:val="24"/>
          <w:lang w:eastAsia="es-CO"/>
        </w:rPr>
      </w:pPr>
      <w:r w:rsidRPr="00C04E7C">
        <w:rPr>
          <w:rFonts w:eastAsia="Times New Roman" w:cs="Times New Roman"/>
          <w:b/>
          <w:bCs/>
          <w:color w:val="0000FF"/>
          <w:szCs w:val="24"/>
          <w:lang w:eastAsia="es-CO"/>
        </w:rPr>
        <w:t>DIAN</w:t>
      </w:r>
    </w:p>
    <w:p w14:paraId="4065B1F2"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18686AE8"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78D9FF86"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Subdirección de Normativa y Doctrina</w:t>
      </w:r>
    </w:p>
    <w:p w14:paraId="5E2CAF30"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100208192-272</w:t>
      </w:r>
    </w:p>
    <w:p w14:paraId="7349B9D9"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Bogotá, D.C.</w:t>
      </w:r>
    </w:p>
    <w:p w14:paraId="6E6BABDF"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2049"/>
        <w:gridCol w:w="276"/>
        <w:gridCol w:w="276"/>
        <w:gridCol w:w="4797"/>
      </w:tblGrid>
      <w:tr w:rsidR="00C04E7C" w:rsidRPr="00C04E7C" w14:paraId="0BE264F7" w14:textId="77777777" w:rsidTr="00C04E7C">
        <w:tc>
          <w:tcPr>
            <w:tcW w:w="0" w:type="auto"/>
            <w:tcBorders>
              <w:top w:val="nil"/>
              <w:left w:val="nil"/>
              <w:bottom w:val="nil"/>
              <w:right w:val="nil"/>
            </w:tcBorders>
            <w:shd w:val="clear" w:color="auto" w:fill="auto"/>
            <w:tcMar>
              <w:top w:w="0" w:type="dxa"/>
              <w:left w:w="108" w:type="dxa"/>
              <w:bottom w:w="0" w:type="dxa"/>
              <w:right w:w="108" w:type="dxa"/>
            </w:tcMar>
            <w:hideMark/>
          </w:tcPr>
          <w:p w14:paraId="33AD7589"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082D56C"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642631B"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BE0D89A"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Impuesto sobre las ventas</w:t>
            </w:r>
          </w:p>
        </w:tc>
      </w:tr>
      <w:tr w:rsidR="00C04E7C" w:rsidRPr="00C04E7C" w14:paraId="79717110" w14:textId="77777777" w:rsidTr="00C04E7C">
        <w:tc>
          <w:tcPr>
            <w:tcW w:w="0" w:type="auto"/>
            <w:tcBorders>
              <w:top w:val="nil"/>
              <w:left w:val="nil"/>
              <w:bottom w:val="nil"/>
              <w:right w:val="nil"/>
            </w:tcBorders>
            <w:shd w:val="clear" w:color="auto" w:fill="auto"/>
            <w:tcMar>
              <w:top w:w="0" w:type="dxa"/>
              <w:left w:w="108" w:type="dxa"/>
              <w:bottom w:w="0" w:type="dxa"/>
              <w:right w:w="108" w:type="dxa"/>
            </w:tcMar>
            <w:hideMark/>
          </w:tcPr>
          <w:p w14:paraId="0748031E"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0AC4FE4"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D81CE4C"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D405D0"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Exenciones</w:t>
            </w:r>
          </w:p>
          <w:p w14:paraId="3BEFCBFD"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Programas CREIPASAJEROS y CREICARGA</w:t>
            </w:r>
          </w:p>
        </w:tc>
      </w:tr>
      <w:tr w:rsidR="00C04E7C" w:rsidRPr="00C04E7C" w14:paraId="55F2431E" w14:textId="77777777" w:rsidTr="00C04E7C">
        <w:tc>
          <w:tcPr>
            <w:tcW w:w="0" w:type="auto"/>
            <w:tcBorders>
              <w:top w:val="nil"/>
              <w:left w:val="nil"/>
              <w:bottom w:val="nil"/>
              <w:right w:val="nil"/>
            </w:tcBorders>
            <w:shd w:val="clear" w:color="auto" w:fill="auto"/>
            <w:tcMar>
              <w:top w:w="0" w:type="dxa"/>
              <w:left w:w="108" w:type="dxa"/>
              <w:bottom w:w="0" w:type="dxa"/>
              <w:right w:w="108" w:type="dxa"/>
            </w:tcMar>
            <w:hideMark/>
          </w:tcPr>
          <w:p w14:paraId="100B6FF2"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D25794"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D76993E"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9E19625" w14:textId="77777777" w:rsidR="00C04E7C" w:rsidRPr="00C04E7C" w:rsidRDefault="00C04E7C" w:rsidP="00C04E7C">
            <w:pPr>
              <w:spacing w:after="0" w:line="360" w:lineRule="auto"/>
              <w:jc w:val="both"/>
              <w:rPr>
                <w:rFonts w:eastAsia="Times New Roman" w:cs="Times New Roman"/>
                <w:szCs w:val="24"/>
                <w:lang w:eastAsia="es-CO"/>
              </w:rPr>
            </w:pPr>
            <w:hyperlink r:id="rId4" w:tooltip="Estatuto Tributario CETA" w:history="1">
              <w:r w:rsidRPr="00C04E7C">
                <w:rPr>
                  <w:rFonts w:eastAsia="Times New Roman" w:cs="Times New Roman"/>
                  <w:color w:val="0089E1"/>
                  <w:szCs w:val="24"/>
                  <w:u w:val="single"/>
                  <w:lang w:eastAsia="es-CO"/>
                </w:rPr>
                <w:t>Artículo 477</w:t>
              </w:r>
            </w:hyperlink>
            <w:r w:rsidRPr="00C04E7C">
              <w:rPr>
                <w:rFonts w:eastAsia="Times New Roman" w:cs="Times New Roman"/>
                <w:szCs w:val="24"/>
                <w:lang w:eastAsia="es-CO"/>
              </w:rPr>
              <w:t> del Estatuto Tributario</w:t>
            </w:r>
          </w:p>
          <w:p w14:paraId="0E49F33E"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Decreto Legislativo 789 de 2020</w:t>
            </w:r>
          </w:p>
          <w:p w14:paraId="46055748" w14:textId="77777777" w:rsidR="00C04E7C" w:rsidRPr="00C04E7C" w:rsidRDefault="00C04E7C" w:rsidP="00C04E7C">
            <w:pPr>
              <w:spacing w:after="0" w:line="360" w:lineRule="auto"/>
              <w:jc w:val="both"/>
              <w:rPr>
                <w:rFonts w:eastAsia="Times New Roman" w:cs="Times New Roman"/>
                <w:szCs w:val="24"/>
                <w:lang w:eastAsia="es-CO"/>
              </w:rPr>
            </w:pPr>
            <w:r w:rsidRPr="00C04E7C">
              <w:rPr>
                <w:rFonts w:eastAsia="Times New Roman" w:cs="Times New Roman"/>
                <w:szCs w:val="24"/>
                <w:lang w:eastAsia="es-CO"/>
              </w:rPr>
              <w:t>Artículo 1.3.1.10.6. del Decreto 1625 de 2016</w:t>
            </w:r>
          </w:p>
        </w:tc>
      </w:tr>
    </w:tbl>
    <w:p w14:paraId="4A05A732"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55EC0613"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5AB1E9BB"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Cordial saludo,</w:t>
      </w:r>
    </w:p>
    <w:p w14:paraId="76609B2C"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732DEAEE"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39AA7B8"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1F21100B" w14:textId="77777777" w:rsidR="00C04E7C" w:rsidRPr="00C04E7C" w:rsidRDefault="00C04E7C" w:rsidP="00C04E7C">
      <w:pPr>
        <w:spacing w:after="0" w:line="360" w:lineRule="auto"/>
        <w:jc w:val="both"/>
        <w:rPr>
          <w:rFonts w:eastAsia="Times New Roman" w:cs="Times New Roman"/>
          <w:color w:val="000000"/>
          <w:sz w:val="28"/>
          <w:szCs w:val="28"/>
          <w:highlight w:val="yellow"/>
          <w:lang w:eastAsia="es-CO"/>
        </w:rPr>
      </w:pPr>
      <w:r w:rsidRPr="00C04E7C">
        <w:rPr>
          <w:rFonts w:eastAsia="Times New Roman" w:cs="Times New Roman"/>
          <w:color w:val="000000"/>
          <w:sz w:val="28"/>
          <w:szCs w:val="28"/>
          <w:highlight w:val="yellow"/>
          <w:lang w:eastAsia="es-CO"/>
        </w:rPr>
        <w:t>Mediante el radicado de la referencia el cual fue remitido por el Ministerio de Transporte y, en relación con el reconocimiento económico por desintegración física total del vehículo operativo con reposición entregado de que trata el artículo 11 de la Resolución No. 5304 de 2019 expedida por el Ministerio de Transporte (Mintransporte) y la exención del impuesto sobre las ventas -IVA de los programas CREIPASAJEROS y CREICARGA contenida en los numerales 4 y 5 del </w:t>
      </w:r>
      <w:hyperlink r:id="rId5" w:tooltip="Estatuto Tributario CETA" w:history="1">
        <w:r w:rsidRPr="00C04E7C">
          <w:rPr>
            <w:rFonts w:eastAsia="Times New Roman" w:cs="Times New Roman"/>
            <w:color w:val="0089E1"/>
            <w:sz w:val="28"/>
            <w:szCs w:val="28"/>
            <w:highlight w:val="yellow"/>
            <w:u w:val="single"/>
            <w:lang w:eastAsia="es-CO"/>
          </w:rPr>
          <w:t>artículo 477</w:t>
        </w:r>
      </w:hyperlink>
      <w:r w:rsidRPr="00C04E7C">
        <w:rPr>
          <w:rFonts w:eastAsia="Times New Roman" w:cs="Times New Roman"/>
          <w:color w:val="000000"/>
          <w:sz w:val="28"/>
          <w:szCs w:val="28"/>
          <w:highlight w:val="yellow"/>
          <w:lang w:eastAsia="es-CO"/>
        </w:rPr>
        <w:t> del Estatuto Tributario y en el artículo 3 del Decreto Legislativo 789 de 2020, el peticionario consulta textualmente lo siguiente:</w:t>
      </w:r>
    </w:p>
    <w:p w14:paraId="52713370" w14:textId="77777777" w:rsidR="00C04E7C" w:rsidRPr="00C04E7C" w:rsidRDefault="00C04E7C" w:rsidP="00C04E7C">
      <w:pPr>
        <w:spacing w:after="0" w:line="360" w:lineRule="auto"/>
        <w:jc w:val="both"/>
        <w:rPr>
          <w:rFonts w:eastAsia="Times New Roman" w:cs="Times New Roman"/>
          <w:color w:val="000000"/>
          <w:sz w:val="28"/>
          <w:szCs w:val="28"/>
          <w:highlight w:val="yellow"/>
          <w:lang w:eastAsia="es-CO"/>
        </w:rPr>
      </w:pPr>
      <w:r w:rsidRPr="00C04E7C">
        <w:rPr>
          <w:rFonts w:eastAsia="Times New Roman" w:cs="Times New Roman"/>
          <w:i/>
          <w:iCs/>
          <w:color w:val="000000"/>
          <w:sz w:val="28"/>
          <w:szCs w:val="28"/>
          <w:highlight w:val="yellow"/>
          <w:lang w:eastAsia="es-CO"/>
        </w:rPr>
        <w:lastRenderedPageBreak/>
        <w:t> </w:t>
      </w:r>
    </w:p>
    <w:p w14:paraId="5BCF276D" w14:textId="77777777" w:rsidR="00C04E7C" w:rsidRPr="00C04E7C" w:rsidRDefault="00C04E7C" w:rsidP="00C04E7C">
      <w:pPr>
        <w:spacing w:after="0" w:line="360" w:lineRule="auto"/>
        <w:ind w:left="284"/>
        <w:jc w:val="both"/>
        <w:rPr>
          <w:rFonts w:eastAsia="Times New Roman" w:cs="Times New Roman"/>
          <w:color w:val="000000"/>
          <w:sz w:val="28"/>
          <w:szCs w:val="28"/>
          <w:highlight w:val="yellow"/>
          <w:lang w:eastAsia="es-CO"/>
        </w:rPr>
      </w:pPr>
      <w:r w:rsidRPr="00C04E7C">
        <w:rPr>
          <w:rFonts w:eastAsia="Times New Roman" w:cs="Times New Roman"/>
          <w:i/>
          <w:iCs/>
          <w:color w:val="000000"/>
          <w:sz w:val="28"/>
          <w:szCs w:val="28"/>
          <w:highlight w:val="yellow"/>
          <w:lang w:eastAsia="es-CO"/>
        </w:rPr>
        <w:t>“1. ¿Es posible y procedente realizar traspaso del vehículo nuevo matriculado a mi nombre después de haber accedido al reconocimiento económico del 60% y la exención del IVA?</w:t>
      </w:r>
    </w:p>
    <w:p w14:paraId="35287556" w14:textId="77777777" w:rsidR="00C04E7C" w:rsidRPr="00C04E7C" w:rsidRDefault="00C04E7C" w:rsidP="00C04E7C">
      <w:pPr>
        <w:spacing w:after="0" w:line="360" w:lineRule="auto"/>
        <w:ind w:left="284"/>
        <w:jc w:val="both"/>
        <w:rPr>
          <w:rFonts w:eastAsia="Times New Roman" w:cs="Times New Roman"/>
          <w:color w:val="000000"/>
          <w:sz w:val="28"/>
          <w:szCs w:val="28"/>
          <w:highlight w:val="yellow"/>
          <w:lang w:eastAsia="es-CO"/>
        </w:rPr>
      </w:pPr>
      <w:r w:rsidRPr="00C04E7C">
        <w:rPr>
          <w:rFonts w:eastAsia="Times New Roman" w:cs="Times New Roman"/>
          <w:i/>
          <w:iCs/>
          <w:color w:val="000000"/>
          <w:sz w:val="28"/>
          <w:szCs w:val="28"/>
          <w:highlight w:val="yellow"/>
          <w:lang w:eastAsia="es-CO"/>
        </w:rPr>
        <w:t>2. ¿Puedo transferir mi propiedad después de haber obtenido todos los beneficios después de transferido (traspaso)?</w:t>
      </w:r>
    </w:p>
    <w:p w14:paraId="6C2A3DEE" w14:textId="77777777" w:rsidR="00C04E7C" w:rsidRPr="00C04E7C" w:rsidRDefault="00C04E7C" w:rsidP="00C04E7C">
      <w:pPr>
        <w:spacing w:after="0" w:line="360" w:lineRule="auto"/>
        <w:ind w:left="284"/>
        <w:jc w:val="both"/>
        <w:rPr>
          <w:rFonts w:eastAsia="Times New Roman" w:cs="Times New Roman"/>
          <w:color w:val="000000"/>
          <w:sz w:val="28"/>
          <w:szCs w:val="28"/>
          <w:lang w:eastAsia="es-CO"/>
        </w:rPr>
      </w:pPr>
      <w:r w:rsidRPr="00C04E7C">
        <w:rPr>
          <w:rFonts w:eastAsia="Times New Roman" w:cs="Times New Roman"/>
          <w:i/>
          <w:iCs/>
          <w:color w:val="000000"/>
          <w:sz w:val="28"/>
          <w:szCs w:val="28"/>
          <w:highlight w:val="yellow"/>
          <w:lang w:eastAsia="es-CO"/>
        </w:rPr>
        <w:t>3. ¿Debería devolver el beneficio del reconocimiento económico y del IVA en la factura de compra?”</w:t>
      </w:r>
    </w:p>
    <w:p w14:paraId="2B96BD90"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50F2F894"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Sobre el particular, las consideraciones de este Despacho son las siguientes:</w:t>
      </w:r>
    </w:p>
    <w:p w14:paraId="1437399C"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25A9C21B"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En primer lugar, respecto al traspaso de vehículos y el reconocimiento económico por desintegración física total del vehículo operativo con reposición entregado de que trata el artículo 11 de la Resolución No. 5304 de 2019 expedida por el Ministerio de Transporte (Mintransporte), se menciona que este Despacho dentro de las facultades otorgadas mediante el Decreto 1742 de 2020 no se encuentra facultado para pronunciarse al respecto por no corresponder a una consulta sobre la interpretación y aplicación de las normas tributarias, aduaneras y de fiscalización cambiaria de competencia de esta entidad. Razón por la cual se dará traslado al mencionado Ministerio para que se pronuncie al respecto en el marco de su competencia.</w:t>
      </w:r>
    </w:p>
    <w:p w14:paraId="7C8854A1"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1523A7FE" w14:textId="77777777" w:rsidR="00C04E7C" w:rsidRPr="00C04E7C" w:rsidRDefault="00C04E7C" w:rsidP="00C04E7C">
      <w:pPr>
        <w:spacing w:after="0" w:line="360" w:lineRule="auto"/>
        <w:jc w:val="both"/>
        <w:rPr>
          <w:rFonts w:eastAsia="Times New Roman" w:cs="Times New Roman"/>
          <w:b/>
          <w:bCs/>
          <w:color w:val="000000"/>
          <w:sz w:val="28"/>
          <w:szCs w:val="28"/>
          <w:lang w:eastAsia="es-CO"/>
        </w:rPr>
      </w:pPr>
      <w:r w:rsidRPr="00C04E7C">
        <w:rPr>
          <w:rFonts w:eastAsia="Times New Roman" w:cs="Times New Roman"/>
          <w:color w:val="000000"/>
          <w:sz w:val="28"/>
          <w:szCs w:val="28"/>
          <w:highlight w:val="cyan"/>
          <w:lang w:eastAsia="es-CO"/>
        </w:rPr>
        <w:t>En segundo lugar y, en relación con el impuesto sobre las ventas -IVA, es de mencionar que para efectos de la aplicación de la exención en el impuesto sobre las ventas -IVA (programas CREIPASAJEROS y/o CREICARGA) contenida en los numerales 4 y 5 del </w:t>
      </w:r>
      <w:hyperlink r:id="rId6" w:tooltip="Estatuto Tributario CETA" w:history="1">
        <w:r w:rsidRPr="00C04E7C">
          <w:rPr>
            <w:rFonts w:eastAsia="Times New Roman" w:cs="Times New Roman"/>
            <w:color w:val="0089E1"/>
            <w:sz w:val="28"/>
            <w:szCs w:val="28"/>
            <w:highlight w:val="cyan"/>
            <w:u w:val="single"/>
            <w:lang w:eastAsia="es-CO"/>
          </w:rPr>
          <w:t>artículo 477</w:t>
        </w:r>
      </w:hyperlink>
      <w:r w:rsidRPr="00C04E7C">
        <w:rPr>
          <w:rFonts w:eastAsia="Times New Roman" w:cs="Times New Roman"/>
          <w:color w:val="000000"/>
          <w:sz w:val="28"/>
          <w:szCs w:val="28"/>
          <w:highlight w:val="cyan"/>
          <w:lang w:eastAsia="es-CO"/>
        </w:rPr>
        <w:t> del Estatuto Tributario, se deberá cumplir con lo dispuesto en su parágrafo 4: </w:t>
      </w:r>
      <w:r w:rsidRPr="00C04E7C">
        <w:rPr>
          <w:rFonts w:eastAsia="Times New Roman" w:cs="Times New Roman"/>
          <w:i/>
          <w:iCs/>
          <w:color w:val="000000"/>
          <w:sz w:val="28"/>
          <w:szCs w:val="28"/>
          <w:highlight w:val="cyan"/>
          <w:lang w:eastAsia="es-CO"/>
        </w:rPr>
        <w:t xml:space="preserve">“(…) </w:t>
      </w:r>
      <w:r w:rsidRPr="00C04E7C">
        <w:rPr>
          <w:rFonts w:eastAsia="Times New Roman" w:cs="Times New Roman"/>
          <w:b/>
          <w:bCs/>
          <w:i/>
          <w:iCs/>
          <w:color w:val="000000"/>
          <w:sz w:val="28"/>
          <w:szCs w:val="28"/>
          <w:highlight w:val="yellow"/>
          <w:lang w:eastAsia="es-CO"/>
        </w:rPr>
        <w:t>Los beneficiarios de esta exención deberán mantener los bienes de que tratan los numerales 4 y 5 del </w:t>
      </w:r>
      <w:hyperlink r:id="rId7" w:tooltip="Estatuto Tributario CETA" w:history="1">
        <w:r w:rsidRPr="00C04E7C">
          <w:rPr>
            <w:rFonts w:eastAsia="Times New Roman" w:cs="Times New Roman"/>
            <w:b/>
            <w:bCs/>
            <w:i/>
            <w:iCs/>
            <w:color w:val="0089E1"/>
            <w:sz w:val="28"/>
            <w:szCs w:val="28"/>
            <w:highlight w:val="yellow"/>
            <w:u w:val="single"/>
            <w:lang w:eastAsia="es-CO"/>
          </w:rPr>
          <w:t>artículo 477</w:t>
        </w:r>
      </w:hyperlink>
      <w:r w:rsidRPr="00C04E7C">
        <w:rPr>
          <w:rFonts w:eastAsia="Times New Roman" w:cs="Times New Roman"/>
          <w:b/>
          <w:bCs/>
          <w:i/>
          <w:iCs/>
          <w:color w:val="000000"/>
          <w:sz w:val="28"/>
          <w:szCs w:val="28"/>
          <w:highlight w:val="yellow"/>
          <w:lang w:eastAsia="es-CO"/>
        </w:rPr>
        <w:t> del Estatuto Tributario como activo fijo y su incumplimiento dará lugar al pago del impuesto sobre las ventas correspondiente”.</w:t>
      </w:r>
    </w:p>
    <w:p w14:paraId="13F0665C"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08939BE9" w14:textId="77777777" w:rsidR="00C04E7C" w:rsidRPr="00C04E7C" w:rsidRDefault="00C04E7C" w:rsidP="00C04E7C">
      <w:pPr>
        <w:spacing w:after="0" w:line="360" w:lineRule="auto"/>
        <w:jc w:val="both"/>
        <w:rPr>
          <w:rFonts w:eastAsia="Times New Roman" w:cs="Times New Roman"/>
          <w:b/>
          <w:bCs/>
          <w:color w:val="000000"/>
          <w:sz w:val="32"/>
          <w:szCs w:val="32"/>
          <w:u w:val="single"/>
          <w:lang w:eastAsia="es-CO"/>
        </w:rPr>
      </w:pPr>
      <w:r w:rsidRPr="00C04E7C">
        <w:rPr>
          <w:rFonts w:eastAsia="Times New Roman" w:cs="Times New Roman"/>
          <w:b/>
          <w:bCs/>
          <w:color w:val="000000"/>
          <w:sz w:val="32"/>
          <w:szCs w:val="32"/>
          <w:lang w:eastAsia="es-CO"/>
        </w:rPr>
        <w:t>Ahora bien, se resalta que, en el evento que el pequeño transportador propietario de hasta dos vehículos haya sido beneficiario de la exención del impuesto sobre las ventas -IVA (contenida en los numerales 4 y 5 del </w:t>
      </w:r>
      <w:hyperlink r:id="rId8" w:tooltip="Estatuto Tributario CETA" w:history="1">
        <w:r w:rsidRPr="00C04E7C">
          <w:rPr>
            <w:rFonts w:eastAsia="Times New Roman" w:cs="Times New Roman"/>
            <w:b/>
            <w:bCs/>
            <w:color w:val="0089E1"/>
            <w:sz w:val="32"/>
            <w:szCs w:val="32"/>
            <w:u w:val="single"/>
            <w:lang w:eastAsia="es-CO"/>
          </w:rPr>
          <w:t>artículo 477</w:t>
        </w:r>
      </w:hyperlink>
      <w:r w:rsidRPr="00C04E7C">
        <w:rPr>
          <w:rFonts w:eastAsia="Times New Roman" w:cs="Times New Roman"/>
          <w:b/>
          <w:bCs/>
          <w:color w:val="000000"/>
          <w:sz w:val="32"/>
          <w:szCs w:val="32"/>
          <w:lang w:eastAsia="es-CO"/>
        </w:rPr>
        <w:t xml:space="preserve"> del Estatuto Tributario o en el artículo 3 del Decreto Legislativo 789 de 2020) realice la venta de estos bienes objeto de la exención posteriormente, </w:t>
      </w:r>
      <w:r w:rsidRPr="00C04E7C">
        <w:rPr>
          <w:rFonts w:eastAsia="Times New Roman" w:cs="Times New Roman"/>
          <w:b/>
          <w:bCs/>
          <w:color w:val="000000"/>
          <w:sz w:val="32"/>
          <w:szCs w:val="32"/>
          <w:u w:val="single"/>
          <w:lang w:eastAsia="es-CO"/>
        </w:rPr>
        <w:t xml:space="preserve">la norma no contempla </w:t>
      </w:r>
      <w:r w:rsidRPr="00C04E7C">
        <w:rPr>
          <w:rFonts w:eastAsia="Times New Roman" w:cs="Times New Roman"/>
          <w:b/>
          <w:bCs/>
          <w:color w:val="000000"/>
          <w:sz w:val="32"/>
          <w:szCs w:val="32"/>
          <w:u w:val="single"/>
          <w:lang w:eastAsia="es-CO"/>
        </w:rPr>
        <w:lastRenderedPageBreak/>
        <w:t>expresamente que en este escenario el pequeño trasportador deba liquidar y pagar el IVA a la tarifa del 19% dejado de pagar en la adquisición y/o importación.</w:t>
      </w:r>
    </w:p>
    <w:p w14:paraId="77B09E78" w14:textId="77777777" w:rsidR="00C04E7C" w:rsidRPr="00C04E7C" w:rsidRDefault="00C04E7C" w:rsidP="00C04E7C">
      <w:pPr>
        <w:spacing w:after="0" w:line="360" w:lineRule="auto"/>
        <w:jc w:val="both"/>
        <w:rPr>
          <w:rFonts w:eastAsia="Times New Roman" w:cs="Times New Roman"/>
          <w:b/>
          <w:bCs/>
          <w:color w:val="000000"/>
          <w:sz w:val="32"/>
          <w:szCs w:val="32"/>
          <w:u w:val="single"/>
          <w:lang w:eastAsia="es-CO"/>
        </w:rPr>
      </w:pPr>
    </w:p>
    <w:p w14:paraId="0D8F0049" w14:textId="7914B5A2"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Atentamente,</w:t>
      </w:r>
    </w:p>
    <w:p w14:paraId="420A99CE"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 </w:t>
      </w:r>
    </w:p>
    <w:p w14:paraId="4C1B51F5" w14:textId="7A30F511"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b/>
          <w:bCs/>
          <w:color w:val="000000"/>
          <w:szCs w:val="24"/>
          <w:lang w:eastAsia="es-CO"/>
        </w:rPr>
        <w:t>NICOLÁS BERNAL ABELLA</w:t>
      </w:r>
    </w:p>
    <w:p w14:paraId="4F240C01"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Subdirector de Normativa y Doctrina (E)</w:t>
      </w:r>
    </w:p>
    <w:p w14:paraId="34ED60B3" w14:textId="77777777" w:rsidR="00C04E7C" w:rsidRP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Dirección de Gestión Jurídica</w:t>
      </w:r>
    </w:p>
    <w:p w14:paraId="11A380CE" w14:textId="4336953F" w:rsidR="00C04E7C" w:rsidRDefault="00C04E7C" w:rsidP="00C04E7C">
      <w:pPr>
        <w:spacing w:after="0" w:line="360" w:lineRule="auto"/>
        <w:jc w:val="both"/>
        <w:rPr>
          <w:rFonts w:eastAsia="Times New Roman" w:cs="Times New Roman"/>
          <w:color w:val="000000"/>
          <w:szCs w:val="24"/>
          <w:lang w:eastAsia="es-CO"/>
        </w:rPr>
      </w:pPr>
      <w:r w:rsidRPr="00C04E7C">
        <w:rPr>
          <w:rFonts w:eastAsia="Times New Roman" w:cs="Times New Roman"/>
          <w:color w:val="000000"/>
          <w:szCs w:val="24"/>
          <w:lang w:eastAsia="es-CO"/>
        </w:rPr>
        <w:t>UAE-Dirección de Impuestos y Aduanas Nacionales</w:t>
      </w:r>
    </w:p>
    <w:p w14:paraId="20086655" w14:textId="4530B5E7" w:rsidR="00C04E7C" w:rsidRPr="00C04E7C" w:rsidRDefault="00C04E7C" w:rsidP="00C04E7C">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w:t>
      </w:r>
    </w:p>
    <w:p w14:paraId="0C1E501A" w14:textId="77777777" w:rsidR="007F5CC8" w:rsidRPr="00C04E7C" w:rsidRDefault="007F5CC8" w:rsidP="00C04E7C">
      <w:pPr>
        <w:spacing w:line="360" w:lineRule="auto"/>
        <w:rPr>
          <w:rFonts w:cs="Times New Roman"/>
          <w:szCs w:val="24"/>
        </w:rPr>
      </w:pPr>
    </w:p>
    <w:sectPr w:rsidR="007F5CC8" w:rsidRPr="00C04E7C"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7C"/>
    <w:rsid w:val="000F3837"/>
    <w:rsid w:val="001E311E"/>
    <w:rsid w:val="00434AE6"/>
    <w:rsid w:val="00630ACB"/>
    <w:rsid w:val="007F5CC8"/>
    <w:rsid w:val="008779BE"/>
    <w:rsid w:val="00C04E7C"/>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3EA5"/>
  <w15:chartTrackingRefBased/>
  <w15:docId w15:val="{4B85CF8D-8004-442E-BB9E-9541984C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2606">
      <w:bodyDiv w:val="1"/>
      <w:marLeft w:val="0"/>
      <w:marRight w:val="0"/>
      <w:marTop w:val="0"/>
      <w:marBottom w:val="0"/>
      <w:divBdr>
        <w:top w:val="none" w:sz="0" w:space="0" w:color="auto"/>
        <w:left w:val="none" w:sz="0" w:space="0" w:color="auto"/>
        <w:bottom w:val="none" w:sz="0" w:space="0" w:color="auto"/>
        <w:right w:val="none" w:sz="0" w:space="0" w:color="auto"/>
      </w:divBdr>
    </w:div>
    <w:div w:id="214892969">
      <w:bodyDiv w:val="1"/>
      <w:marLeft w:val="0"/>
      <w:marRight w:val="0"/>
      <w:marTop w:val="0"/>
      <w:marBottom w:val="0"/>
      <w:divBdr>
        <w:top w:val="none" w:sz="0" w:space="0" w:color="auto"/>
        <w:left w:val="none" w:sz="0" w:space="0" w:color="auto"/>
        <w:bottom w:val="none" w:sz="0" w:space="0" w:color="auto"/>
        <w:right w:val="none" w:sz="0" w:space="0" w:color="auto"/>
      </w:divBdr>
    </w:div>
    <w:div w:id="1468860856">
      <w:bodyDiv w:val="1"/>
      <w:marLeft w:val="0"/>
      <w:marRight w:val="0"/>
      <w:marTop w:val="0"/>
      <w:marBottom w:val="0"/>
      <w:divBdr>
        <w:top w:val="none" w:sz="0" w:space="0" w:color="auto"/>
        <w:left w:val="none" w:sz="0" w:space="0" w:color="auto"/>
        <w:bottom w:val="none" w:sz="0" w:space="0" w:color="auto"/>
        <w:right w:val="none" w:sz="0" w:space="0" w:color="auto"/>
      </w:divBdr>
    </w:div>
    <w:div w:id="17459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7" TargetMode="External"/><Relationship Id="rId5" Type="http://schemas.openxmlformats.org/officeDocument/2006/relationships/hyperlink" Target="https://www.ceta.org.co/html/vista_de_un_articulo.asp?Norma=597" TargetMode="External"/><Relationship Id="rId10" Type="http://schemas.openxmlformats.org/officeDocument/2006/relationships/theme" Target="theme/theme1.xml"/><Relationship Id="rId4" Type="http://schemas.openxmlformats.org/officeDocument/2006/relationships/hyperlink" Target="https://www.ceta.org.co/html/vista_de_un_articulo.asp?Norma=597"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725</Words>
  <Characters>3991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2022-05-09T19:55:00Z</dcterms:created>
  <dcterms:modified xsi:type="dcterms:W3CDTF">2022-05-09T20:01:00Z</dcterms:modified>
</cp:coreProperties>
</file>